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1A" w:rsidRDefault="00C0791A" w:rsidP="00C0791A">
      <w:pPr>
        <w:pStyle w:val="Pealkiri2"/>
      </w:pPr>
      <w:r>
        <w:t>Teemad praktikatöödeks Majandusarengu osakonna tehnoloogia- ja innovatsioonitalituses</w:t>
      </w:r>
    </w:p>
    <w:p w:rsidR="00C0791A" w:rsidRDefault="00C0791A">
      <w:r>
        <w:t>Huvi korral palun ühendust võtta kas Jarmo Tuisk (</w:t>
      </w:r>
      <w:hyperlink r:id="rId5" w:history="1">
        <w:r w:rsidRPr="00744058">
          <w:rPr>
            <w:rStyle w:val="Hperlink"/>
          </w:rPr>
          <w:t>jarmo.tuisk@mkm.ee</w:t>
        </w:r>
      </w:hyperlink>
      <w:r>
        <w:t>) või Katrin Noormägi (</w:t>
      </w:r>
      <w:hyperlink r:id="rId6" w:history="1">
        <w:r w:rsidRPr="00744058">
          <w:rPr>
            <w:rStyle w:val="Hperlink"/>
          </w:rPr>
          <w:t>katrin.noormagi@mkm.ee</w:t>
        </w:r>
      </w:hyperlink>
      <w:r>
        <w:t>)</w:t>
      </w:r>
    </w:p>
    <w:tbl>
      <w:tblPr>
        <w:tblStyle w:val="Helevarjustusrhk4"/>
        <w:tblW w:w="0" w:type="auto"/>
        <w:tblLook w:val="04A0"/>
      </w:tblPr>
      <w:tblGrid>
        <w:gridCol w:w="3070"/>
        <w:gridCol w:w="3071"/>
        <w:gridCol w:w="3071"/>
      </w:tblGrid>
      <w:tr w:rsidR="00F06244" w:rsidTr="00F06244">
        <w:trPr>
          <w:cnfStyle w:val="100000000000"/>
        </w:trPr>
        <w:tc>
          <w:tcPr>
            <w:cnfStyle w:val="001000000000"/>
            <w:tcW w:w="3070" w:type="dxa"/>
          </w:tcPr>
          <w:p w:rsidR="00F06244" w:rsidRDefault="00F06244">
            <w:r>
              <w:t>Valdkond/Teema</w:t>
            </w:r>
          </w:p>
        </w:tc>
        <w:tc>
          <w:tcPr>
            <w:tcW w:w="3071" w:type="dxa"/>
          </w:tcPr>
          <w:p w:rsidR="00F06244" w:rsidRDefault="00F06244">
            <w:pPr>
              <w:cnfStyle w:val="100000000000"/>
            </w:pPr>
            <w:r>
              <w:t>Kommentaar</w:t>
            </w:r>
          </w:p>
        </w:tc>
        <w:tc>
          <w:tcPr>
            <w:tcW w:w="3071" w:type="dxa"/>
          </w:tcPr>
          <w:p w:rsidR="00F06244" w:rsidRDefault="00F06244">
            <w:pPr>
              <w:cnfStyle w:val="100000000000"/>
            </w:pPr>
            <w:r>
              <w:t>Oodatav tulemus</w:t>
            </w:r>
          </w:p>
        </w:tc>
      </w:tr>
      <w:tr w:rsidR="00F06244" w:rsidTr="00F06244">
        <w:trPr>
          <w:cnfStyle w:val="000000100000"/>
        </w:trPr>
        <w:tc>
          <w:tcPr>
            <w:cnfStyle w:val="001000000000"/>
            <w:tcW w:w="3070" w:type="dxa"/>
          </w:tcPr>
          <w:p w:rsidR="00F06244" w:rsidRDefault="00F06244">
            <w:r>
              <w:t>1. Regulatiivne raamistik innovatsioonitoetusele</w:t>
            </w:r>
          </w:p>
        </w:tc>
        <w:tc>
          <w:tcPr>
            <w:tcW w:w="3071" w:type="dxa"/>
          </w:tcPr>
          <w:p w:rsidR="00F06244" w:rsidRDefault="00F06244">
            <w:pPr>
              <w:cnfStyle w:val="000000100000"/>
            </w:pPr>
          </w:p>
        </w:tc>
        <w:tc>
          <w:tcPr>
            <w:tcW w:w="3071" w:type="dxa"/>
          </w:tcPr>
          <w:p w:rsidR="00F06244" w:rsidRDefault="00F06244">
            <w:pPr>
              <w:cnfStyle w:val="000000100000"/>
            </w:pPr>
          </w:p>
        </w:tc>
      </w:tr>
      <w:tr w:rsidR="00F06244" w:rsidTr="00F06244">
        <w:tc>
          <w:tcPr>
            <w:cnfStyle w:val="001000000000"/>
            <w:tcW w:w="3070" w:type="dxa"/>
          </w:tcPr>
          <w:p w:rsidR="00F06244" w:rsidRDefault="00F06244" w:rsidP="00F06244">
            <w:pPr>
              <w:pStyle w:val="Loendilik"/>
              <w:numPr>
                <w:ilvl w:val="1"/>
                <w:numId w:val="1"/>
              </w:numPr>
            </w:pPr>
            <w:r>
              <w:t>Riigiabi TA grupierandi „abi noortele innovaatilistele ettevõtetele (NIE)“ kasutamine</w:t>
            </w:r>
          </w:p>
        </w:tc>
        <w:tc>
          <w:tcPr>
            <w:tcW w:w="3071" w:type="dxa"/>
          </w:tcPr>
          <w:p w:rsidR="00F06244" w:rsidRDefault="00F06244">
            <w:pPr>
              <w:cnfStyle w:val="000000000000"/>
            </w:pPr>
            <w:r>
              <w:t>Riigi toetuste andmisel peame lähtuma riigiabi reeglitest. Peamiselt kasutame TA grupierandit ja vähese tähtsusega abi.</w:t>
            </w:r>
          </w:p>
          <w:p w:rsidR="00F06244" w:rsidRDefault="00F06244">
            <w:pPr>
              <w:cnfStyle w:val="000000000000"/>
            </w:pPr>
          </w:p>
          <w:p w:rsidR="00F06244" w:rsidRDefault="00F06244">
            <w:pPr>
              <w:cnfStyle w:val="000000000000"/>
            </w:pPr>
            <w:r>
              <w:t>Eestis ei ole erilist praktikat NIE grupierandi kasutamisest, samas võimaldaks see anda küllalt paindlikel tingimustel abi suuremas mahus kui tänane laialt kasutatav „vähese tähtsusega abi“.</w:t>
            </w:r>
          </w:p>
          <w:p w:rsidR="00F06244" w:rsidRDefault="00F06244">
            <w:pPr>
              <w:cnfStyle w:val="000000000000"/>
            </w:pPr>
          </w:p>
        </w:tc>
        <w:tc>
          <w:tcPr>
            <w:tcW w:w="3071" w:type="dxa"/>
          </w:tcPr>
          <w:p w:rsidR="00F06244" w:rsidRDefault="00F06244" w:rsidP="00F06244">
            <w:pPr>
              <w:cnfStyle w:val="000000000000"/>
            </w:pPr>
            <w:r>
              <w:t>Ootame praktikandilt ülevaadet NIE grupierandi kasutamise näidetest Euroopas ning analüüsi, millistes EASi meetmetes tasuks seda erandit kasutada.</w:t>
            </w:r>
          </w:p>
          <w:p w:rsidR="00F06244" w:rsidRDefault="00F06244" w:rsidP="00F06244">
            <w:pPr>
              <w:cnfStyle w:val="000000000000"/>
            </w:pPr>
          </w:p>
          <w:p w:rsidR="00F06244" w:rsidRDefault="00F06244" w:rsidP="00F06244">
            <w:pPr>
              <w:cnfStyle w:val="000000000000"/>
            </w:pPr>
            <w:r>
              <w:t>Oluline oleks mõista, et millised meetmed võiks innovaatilistele ettevõtetele veel kohandada, kas tasuks kaaluda kõrgemaid toetusmäärasid (kas seda on mujal tehtud), kas eelistada NIEsid teistele ettevõtetele.</w:t>
            </w:r>
          </w:p>
        </w:tc>
      </w:tr>
      <w:tr w:rsidR="00F06244" w:rsidTr="00F06244">
        <w:trPr>
          <w:cnfStyle w:val="000000100000"/>
        </w:trPr>
        <w:tc>
          <w:tcPr>
            <w:cnfStyle w:val="001000000000"/>
            <w:tcW w:w="3070" w:type="dxa"/>
          </w:tcPr>
          <w:p w:rsidR="00F06244" w:rsidRDefault="00F06244" w:rsidP="00F06244">
            <w:pPr>
              <w:pStyle w:val="Loendilik"/>
              <w:numPr>
                <w:ilvl w:val="1"/>
                <w:numId w:val="1"/>
              </w:numPr>
            </w:pPr>
            <w:r>
              <w:t>Riigiabi demonstratsiooni-projekidele</w:t>
            </w:r>
          </w:p>
        </w:tc>
        <w:tc>
          <w:tcPr>
            <w:tcW w:w="3071" w:type="dxa"/>
          </w:tcPr>
          <w:p w:rsidR="00F06244" w:rsidRDefault="00F06244">
            <w:pPr>
              <w:cnfStyle w:val="000000100000"/>
            </w:pPr>
            <w:r>
              <w:t xml:space="preserve">Demo või pilootprojekt tutvustab laiemale auditooriumile mingi toote- või teenusarenduse tulemust. </w:t>
            </w:r>
          </w:p>
          <w:p w:rsidR="00F06244" w:rsidRDefault="00F06244">
            <w:pPr>
              <w:cnfStyle w:val="000000100000"/>
            </w:pPr>
          </w:p>
          <w:p w:rsidR="00F06244" w:rsidRDefault="00F06244">
            <w:pPr>
              <w:cnfStyle w:val="000000100000"/>
            </w:pPr>
            <w:r>
              <w:t>Meid huvitavad just sellised projektid, kus osaliseks on TA asutused, mitmed ettevõtted, NGOd ja mille tulemus jääks hiljem kasutatavaks nö. avatud koodina.</w:t>
            </w:r>
          </w:p>
          <w:p w:rsidR="00F06244" w:rsidRDefault="00F06244">
            <w:pPr>
              <w:cnfStyle w:val="000000100000"/>
            </w:pPr>
          </w:p>
          <w:p w:rsidR="00F06244" w:rsidRDefault="00F06244">
            <w:pPr>
              <w:cnfStyle w:val="000000100000"/>
            </w:pPr>
            <w:r>
              <w:t xml:space="preserve">Täna meie meetmestikus väga palju sellist tegevust ei toetata. </w:t>
            </w:r>
          </w:p>
        </w:tc>
        <w:tc>
          <w:tcPr>
            <w:tcW w:w="3071" w:type="dxa"/>
          </w:tcPr>
          <w:p w:rsidR="00F06244" w:rsidRDefault="00F06244" w:rsidP="00F06244">
            <w:pPr>
              <w:cnfStyle w:val="000000100000"/>
            </w:pPr>
            <w:r>
              <w:t>Ootame praktikandilt ülevaadet/analüüsi selle kohta,</w:t>
            </w:r>
            <w:r w:rsidR="00E74496">
              <w:t xml:space="preserve"> kuidas defineeritakse demo/pilootprojekte ELis, </w:t>
            </w:r>
            <w:r>
              <w:t xml:space="preserve"> kuidas käsitletakse riigiabi regulatsioonis demo</w:t>
            </w:r>
            <w:r w:rsidR="00E74496">
              <w:t>/piloot</w:t>
            </w:r>
            <w:r>
              <w:t xml:space="preserve">projekte. </w:t>
            </w:r>
          </w:p>
          <w:p w:rsidR="00F06244" w:rsidRDefault="00F06244" w:rsidP="00F06244">
            <w:pPr>
              <w:cnfStyle w:val="000000100000"/>
            </w:pPr>
          </w:p>
          <w:p w:rsidR="00F06244" w:rsidRDefault="00F06244" w:rsidP="00F06244">
            <w:pPr>
              <w:cnfStyle w:val="000000100000"/>
            </w:pPr>
            <w:r>
              <w:t xml:space="preserve">Milline on senine </w:t>
            </w:r>
            <w:r w:rsidR="00E74496">
              <w:t>„</w:t>
            </w:r>
            <w:proofErr w:type="spellStart"/>
            <w:r>
              <w:t>best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 w:rsidR="00E74496">
              <w:t>“</w:t>
            </w:r>
            <w:r>
              <w:t xml:space="preserve"> selles valdkonnas?</w:t>
            </w:r>
          </w:p>
        </w:tc>
      </w:tr>
      <w:tr w:rsidR="001C0E1F" w:rsidTr="00F06244">
        <w:tc>
          <w:tcPr>
            <w:cnfStyle w:val="001000000000"/>
            <w:tcW w:w="3070" w:type="dxa"/>
          </w:tcPr>
          <w:p w:rsidR="001C0E1F" w:rsidRPr="001C0E1F" w:rsidRDefault="001C0E1F" w:rsidP="001C0E1F">
            <w:pPr>
              <w:pStyle w:val="Loendilik"/>
              <w:numPr>
                <w:ilvl w:val="0"/>
                <w:numId w:val="1"/>
              </w:numPr>
            </w:pPr>
            <w:r>
              <w:t>Alustavad kõrge potentsiaaliga ettevõtted</w:t>
            </w:r>
          </w:p>
        </w:tc>
        <w:tc>
          <w:tcPr>
            <w:tcW w:w="3071" w:type="dxa"/>
          </w:tcPr>
          <w:p w:rsidR="001C0E1F" w:rsidRDefault="001C0E1F">
            <w:pPr>
              <w:cnfStyle w:val="000000000000"/>
            </w:pPr>
          </w:p>
        </w:tc>
        <w:tc>
          <w:tcPr>
            <w:tcW w:w="3071" w:type="dxa"/>
          </w:tcPr>
          <w:p w:rsidR="001C0E1F" w:rsidRDefault="001C0E1F" w:rsidP="00F06244">
            <w:pPr>
              <w:cnfStyle w:val="000000000000"/>
            </w:pPr>
          </w:p>
        </w:tc>
      </w:tr>
      <w:tr w:rsidR="001C0E1F" w:rsidTr="00F06244">
        <w:trPr>
          <w:cnfStyle w:val="000000100000"/>
        </w:trPr>
        <w:tc>
          <w:tcPr>
            <w:cnfStyle w:val="001000000000"/>
            <w:tcW w:w="3070" w:type="dxa"/>
          </w:tcPr>
          <w:p w:rsidR="001C0E1F" w:rsidRDefault="001C0E1F" w:rsidP="001C0E1F">
            <w:pPr>
              <w:pStyle w:val="Loendilik"/>
              <w:numPr>
                <w:ilvl w:val="1"/>
                <w:numId w:val="1"/>
              </w:numPr>
            </w:pPr>
            <w:r>
              <w:t>Eesti globaliseeruvad start-up’id maailma tõmbekeskustes</w:t>
            </w:r>
          </w:p>
        </w:tc>
        <w:tc>
          <w:tcPr>
            <w:tcW w:w="3071" w:type="dxa"/>
          </w:tcPr>
          <w:p w:rsidR="001C0E1F" w:rsidRDefault="001C0E1F">
            <w:pPr>
              <w:cnfStyle w:val="000000100000"/>
            </w:pPr>
            <w:r>
              <w:t>Viimasel ajal on palju juttu olnud nö. Estonian Maf</w:t>
            </w:r>
            <w:r w:rsidR="004F2D79">
              <w:t>f</w:t>
            </w:r>
            <w:r>
              <w:t>iast Londonis ja Silicon Valleys.</w:t>
            </w:r>
          </w:p>
          <w:p w:rsidR="001C0E1F" w:rsidRDefault="001C0E1F">
            <w:pPr>
              <w:cnfStyle w:val="000000100000"/>
            </w:pPr>
          </w:p>
          <w:p w:rsidR="001C0E1F" w:rsidRDefault="001C0E1F">
            <w:pPr>
              <w:cnfStyle w:val="000000100000"/>
            </w:pPr>
            <w:r>
              <w:t>Püüame paremini mõista seda, et kuidas Eesti ettevõtjad on sinna sattunud, mida nad seal teevad ja mis on neist edasi saanud.</w:t>
            </w:r>
          </w:p>
        </w:tc>
        <w:tc>
          <w:tcPr>
            <w:tcW w:w="3071" w:type="dxa"/>
          </w:tcPr>
          <w:p w:rsidR="001C0E1F" w:rsidRDefault="001C0E1F" w:rsidP="00F06244">
            <w:pPr>
              <w:cnfStyle w:val="000000100000"/>
            </w:pPr>
            <w:r>
              <w:t>Praktikandilt ootame ülevaadet start-up ettevõtetest, kes on Eestist välja läinud oma iduettevõtet arendama, mis on olnud peamised põhjused, mida nad seal täna teevad, mis kiirendeid kasutavad, palju nad kapitali on kaasanud</w:t>
            </w:r>
            <w:r w:rsidR="00E74496">
              <w:t>, millistes kiirendites, teadusparkides jne on nad olnud</w:t>
            </w:r>
            <w:r>
              <w:t xml:space="preserve"> jne.</w:t>
            </w:r>
          </w:p>
        </w:tc>
      </w:tr>
      <w:tr w:rsidR="001C0E1F" w:rsidTr="00F06244">
        <w:tc>
          <w:tcPr>
            <w:cnfStyle w:val="001000000000"/>
            <w:tcW w:w="3070" w:type="dxa"/>
          </w:tcPr>
          <w:p w:rsidR="001C0E1F" w:rsidRDefault="001C0E1F" w:rsidP="001C0E1F">
            <w:pPr>
              <w:pStyle w:val="Loendilik"/>
              <w:numPr>
                <w:ilvl w:val="1"/>
                <w:numId w:val="1"/>
              </w:numPr>
            </w:pPr>
            <w:r>
              <w:t>Tööstusstart-upide arendamine</w:t>
            </w:r>
          </w:p>
        </w:tc>
        <w:tc>
          <w:tcPr>
            <w:tcW w:w="3071" w:type="dxa"/>
          </w:tcPr>
          <w:p w:rsidR="001C0E1F" w:rsidRDefault="001C0E1F">
            <w:pPr>
              <w:cnfStyle w:val="000000000000"/>
            </w:pPr>
            <w:r>
              <w:t xml:space="preserve">Me räägime palju täna </w:t>
            </w:r>
            <w:r w:rsidR="00B16063">
              <w:t xml:space="preserve">IT-põhistest </w:t>
            </w:r>
            <w:proofErr w:type="spellStart"/>
            <w:r>
              <w:t>start-upidest</w:t>
            </w:r>
            <w:proofErr w:type="spellEnd"/>
            <w:r>
              <w:t xml:space="preserve">. Samas me näeme, et Eestis on olnud mitmeid huvitavaid tööstusstart-up’ide ideid, mis ei ole nii kiiresti lendu tõusnud. </w:t>
            </w:r>
          </w:p>
          <w:p w:rsidR="001C0E1F" w:rsidRDefault="001C0E1F">
            <w:pPr>
              <w:cnfStyle w:val="000000000000"/>
            </w:pPr>
          </w:p>
          <w:p w:rsidR="001C0E1F" w:rsidRDefault="001C0E1F">
            <w:pPr>
              <w:cnfStyle w:val="000000000000"/>
            </w:pPr>
            <w:r>
              <w:t>Me usume, et tänasele töötlevale tööstusele teeks head, kui neil oleks tihedam seos tehnoloogiastart-up’idega, kuid kuidas neid kahte ühendada?</w:t>
            </w:r>
          </w:p>
        </w:tc>
        <w:tc>
          <w:tcPr>
            <w:tcW w:w="3071" w:type="dxa"/>
          </w:tcPr>
          <w:p w:rsidR="001C0E1F" w:rsidRDefault="001C0E1F" w:rsidP="00F06244">
            <w:pPr>
              <w:cnfStyle w:val="000000000000"/>
            </w:pPr>
            <w:r>
              <w:t>Praktikandilt ootame desktop researchi programmidest ja ideedest, mis on suunatud just tööstuse</w:t>
            </w:r>
            <w:r w:rsidR="009A76A1">
              <w:t>ttevõtete</w:t>
            </w:r>
            <w:r>
              <w:t xml:space="preserve"> ja start-upide koostöö arendamisele ning tööstusstart-up’ide arengu kiirendamisele. </w:t>
            </w:r>
          </w:p>
          <w:p w:rsidR="001C0E1F" w:rsidRDefault="001C0E1F" w:rsidP="00F06244">
            <w:pPr>
              <w:cnfStyle w:val="000000000000"/>
            </w:pPr>
          </w:p>
          <w:p w:rsidR="001C0E1F" w:rsidRDefault="001C0E1F" w:rsidP="00F06244">
            <w:pPr>
              <w:cnfStyle w:val="000000000000"/>
            </w:pPr>
            <w:r>
              <w:t>Võimalusel ka analüüsi ideede rakendatavusele Eesti kontekstis.</w:t>
            </w:r>
          </w:p>
        </w:tc>
      </w:tr>
      <w:tr w:rsidR="00267B9B" w:rsidTr="00F06244">
        <w:trPr>
          <w:cnfStyle w:val="000000100000"/>
        </w:trPr>
        <w:tc>
          <w:tcPr>
            <w:cnfStyle w:val="001000000000"/>
            <w:tcW w:w="3070" w:type="dxa"/>
          </w:tcPr>
          <w:p w:rsidR="00267B9B" w:rsidRPr="00267B9B" w:rsidRDefault="00267B9B" w:rsidP="00267B9B">
            <w:pPr>
              <w:pStyle w:val="Loendilik"/>
              <w:numPr>
                <w:ilvl w:val="0"/>
                <w:numId w:val="1"/>
              </w:numPr>
            </w:pPr>
            <w:r>
              <w:t>Innovatsioonistrateegia</w:t>
            </w:r>
          </w:p>
        </w:tc>
        <w:tc>
          <w:tcPr>
            <w:tcW w:w="3071" w:type="dxa"/>
          </w:tcPr>
          <w:p w:rsidR="00267B9B" w:rsidRDefault="00267B9B">
            <w:pPr>
              <w:cnfStyle w:val="000000100000"/>
            </w:pPr>
          </w:p>
        </w:tc>
        <w:tc>
          <w:tcPr>
            <w:tcW w:w="3071" w:type="dxa"/>
          </w:tcPr>
          <w:p w:rsidR="00267B9B" w:rsidRDefault="00267B9B" w:rsidP="00F06244">
            <w:pPr>
              <w:cnfStyle w:val="000000100000"/>
            </w:pPr>
          </w:p>
        </w:tc>
      </w:tr>
      <w:tr w:rsidR="00267B9B" w:rsidTr="00F06244">
        <w:tc>
          <w:tcPr>
            <w:cnfStyle w:val="001000000000"/>
            <w:tcW w:w="3070" w:type="dxa"/>
          </w:tcPr>
          <w:p w:rsidR="00267B9B" w:rsidRPr="00267B9B" w:rsidRDefault="00267B9B" w:rsidP="00267B9B">
            <w:pPr>
              <w:pStyle w:val="Loendilik"/>
              <w:numPr>
                <w:ilvl w:val="1"/>
                <w:numId w:val="1"/>
              </w:numPr>
            </w:pPr>
            <w:r>
              <w:t>Smart specialization 2011-2020 Läänemere piirkonnas</w:t>
            </w:r>
          </w:p>
        </w:tc>
        <w:tc>
          <w:tcPr>
            <w:tcW w:w="3071" w:type="dxa"/>
          </w:tcPr>
          <w:p w:rsidR="00267B9B" w:rsidRDefault="00267B9B">
            <w:pPr>
              <w:cnfStyle w:val="000000000000"/>
            </w:pPr>
            <w:r>
              <w:t>Smart specialization on viimase aja popp termin. EL ootab oma liikmesriikidelt spetsialiseerumist teadus- ja arendustegevuse juhtimisel/elluviimisel.</w:t>
            </w:r>
          </w:p>
          <w:p w:rsidR="00267B9B" w:rsidRDefault="00267B9B">
            <w:pPr>
              <w:cnfStyle w:val="000000000000"/>
            </w:pPr>
          </w:p>
          <w:p w:rsidR="00267B9B" w:rsidRDefault="00267B9B">
            <w:pPr>
              <w:cnfStyle w:val="000000000000"/>
            </w:pPr>
            <w:r>
              <w:t>Sõnades on kõik mõistetav, kuid kas jõutakse deklaratsioonidest ka tegudeni? Kui targalt see spetsialiseerumine siis ikkagi käib?</w:t>
            </w:r>
          </w:p>
        </w:tc>
        <w:tc>
          <w:tcPr>
            <w:tcW w:w="3071" w:type="dxa"/>
          </w:tcPr>
          <w:p w:rsidR="00267B9B" w:rsidRDefault="00267B9B" w:rsidP="00F06244">
            <w:pPr>
              <w:cnfStyle w:val="000000000000"/>
            </w:pPr>
            <w:r>
              <w:t xml:space="preserve">Praktikandilt ootame ülevaadet smart spezialization kontseptsioonist ja Läänemere riikide seisukohtadest ja valikutest/otsustest selles valdkonnas. </w:t>
            </w:r>
          </w:p>
          <w:p w:rsidR="00267B9B" w:rsidRDefault="00267B9B" w:rsidP="00F06244">
            <w:pPr>
              <w:cnfStyle w:val="000000000000"/>
            </w:pPr>
          </w:p>
          <w:p w:rsidR="00267B9B" w:rsidRDefault="00267B9B" w:rsidP="00F06244">
            <w:pPr>
              <w:cnfStyle w:val="000000000000"/>
            </w:pPr>
            <w:r>
              <w:t xml:space="preserve">Võimalusel võiks analüüsida ka valikute eristumist ja </w:t>
            </w:r>
            <w:r w:rsidR="00D7634E">
              <w:t>võimalusi Eesti positsioneerimiseks.</w:t>
            </w:r>
            <w:r>
              <w:t xml:space="preserve"> </w:t>
            </w:r>
          </w:p>
        </w:tc>
      </w:tr>
      <w:tr w:rsidR="00D7634E" w:rsidTr="00F06244">
        <w:trPr>
          <w:cnfStyle w:val="000000100000"/>
        </w:trPr>
        <w:tc>
          <w:tcPr>
            <w:cnfStyle w:val="001000000000"/>
            <w:tcW w:w="3070" w:type="dxa"/>
          </w:tcPr>
          <w:p w:rsidR="00D7634E" w:rsidRDefault="00D7634E" w:rsidP="00267B9B">
            <w:pPr>
              <w:pStyle w:val="Loendilik"/>
              <w:numPr>
                <w:ilvl w:val="1"/>
                <w:numId w:val="1"/>
              </w:numPr>
            </w:pPr>
            <w:r>
              <w:t>Eesti megaklastrid</w:t>
            </w:r>
          </w:p>
        </w:tc>
        <w:tc>
          <w:tcPr>
            <w:tcW w:w="3071" w:type="dxa"/>
          </w:tcPr>
          <w:p w:rsidR="00D7634E" w:rsidRDefault="00D7634E" w:rsidP="00D7634E">
            <w:pPr>
              <w:cnfStyle w:val="000000100000"/>
            </w:pPr>
            <w:r>
              <w:t>Vaadates Eesti seniseid klastreid ja TAKe, TA projekte ja eksporditoetusi tekib tunne, et toimub klasterdumine kolme suure megaklastri ümber:</w:t>
            </w:r>
          </w:p>
          <w:p w:rsidR="00D7634E" w:rsidRDefault="00D7634E" w:rsidP="00D7634E">
            <w:pPr>
              <w:pStyle w:val="Loendilik"/>
              <w:numPr>
                <w:ilvl w:val="0"/>
                <w:numId w:val="2"/>
              </w:numPr>
              <w:cnfStyle w:val="000000100000"/>
            </w:pPr>
            <w:r>
              <w:rPr>
                <w:b/>
              </w:rPr>
              <w:t>„</w:t>
            </w:r>
            <w:r w:rsidRPr="00D7634E">
              <w:rPr>
                <w:b/>
              </w:rPr>
              <w:t>Tark kogukond</w:t>
            </w:r>
            <w:r>
              <w:rPr>
                <w:b/>
              </w:rPr>
              <w:t xml:space="preserve"> ehk bitimajandus</w:t>
            </w:r>
            <w:r>
              <w:t>“, kuhu alla koonduvad IKT, elektroonika, energeetika ettevõtted.</w:t>
            </w:r>
          </w:p>
          <w:p w:rsidR="00D7634E" w:rsidRDefault="00D7634E" w:rsidP="00D7634E">
            <w:pPr>
              <w:pStyle w:val="Loendilik"/>
              <w:numPr>
                <w:ilvl w:val="0"/>
                <w:numId w:val="2"/>
              </w:numPr>
              <w:cnfStyle w:val="000000100000"/>
            </w:pPr>
            <w:r w:rsidRPr="00D7634E">
              <w:rPr>
                <w:b/>
              </w:rPr>
              <w:t>„Terve inimene ja terve toit ehk raku-majandus“,</w:t>
            </w:r>
            <w:r>
              <w:t xml:space="preserve"> kuhu koonduvad terviseteenused, toiduainetööstus, ravimi- ja biotehnol firmad jne</w:t>
            </w:r>
          </w:p>
          <w:p w:rsidR="00D7634E" w:rsidRDefault="00D7634E" w:rsidP="00D7634E">
            <w:pPr>
              <w:pStyle w:val="Loendilik"/>
              <w:numPr>
                <w:ilvl w:val="0"/>
                <w:numId w:val="2"/>
              </w:numPr>
              <w:cnfStyle w:val="000000100000"/>
            </w:pPr>
            <w:r w:rsidRPr="00D7634E">
              <w:rPr>
                <w:b/>
              </w:rPr>
              <w:t>„Tark tööstus“,</w:t>
            </w:r>
            <w:r>
              <w:t xml:space="preserve"> kuhu alla koonduvad tööstusteenuste pakkujad, puidu- ja metallitööstus, keemiatööstus, taaskäitlemine jne.</w:t>
            </w:r>
          </w:p>
          <w:p w:rsidR="00E74496" w:rsidRDefault="00E74496" w:rsidP="00D7634E">
            <w:pPr>
              <w:pStyle w:val="Loendilik"/>
              <w:numPr>
                <w:ilvl w:val="0"/>
                <w:numId w:val="2"/>
              </w:numPr>
              <w:cnfStyle w:val="000000100000"/>
            </w:pPr>
            <w:r w:rsidRPr="00E74496">
              <w:rPr>
                <w:b/>
              </w:rPr>
              <w:t>„</w:t>
            </w:r>
            <w:proofErr w:type="spellStart"/>
            <w:r w:rsidRPr="00E74496">
              <w:rPr>
                <w:b/>
              </w:rPr>
              <w:t>Entertainment</w:t>
            </w:r>
            <w:proofErr w:type="spellEnd"/>
            <w:r w:rsidRPr="00E74496">
              <w:rPr>
                <w:b/>
              </w:rPr>
              <w:t xml:space="preserve"> </w:t>
            </w:r>
            <w:proofErr w:type="spellStart"/>
            <w:r w:rsidRPr="00E74496">
              <w:rPr>
                <w:b/>
              </w:rPr>
              <w:t>economy</w:t>
            </w:r>
            <w:proofErr w:type="spellEnd"/>
            <w:r w:rsidRPr="00E74496">
              <w:rPr>
                <w:b/>
              </w:rPr>
              <w:t>“,</w:t>
            </w:r>
            <w:r>
              <w:t xml:space="preserve"> kuhu koonduvad teenuse, loomemajanduse ja turismi ettevõtted.</w:t>
            </w:r>
          </w:p>
          <w:p w:rsidR="00D7634E" w:rsidRDefault="00D7634E" w:rsidP="00D7634E">
            <w:pPr>
              <w:cnfStyle w:val="000000100000"/>
            </w:pPr>
          </w:p>
          <w:p w:rsidR="00D7634E" w:rsidRPr="00D7634E" w:rsidRDefault="00D7634E" w:rsidP="00D7634E">
            <w:pPr>
              <w:cnfStyle w:val="000000100000"/>
            </w:pPr>
            <w:r>
              <w:t xml:space="preserve">Küsimus on, et kas tegu võiks olla Eesti uute </w:t>
            </w:r>
            <w:proofErr w:type="spellStart"/>
            <w:r>
              <w:t>megaklastritega</w:t>
            </w:r>
            <w:proofErr w:type="spellEnd"/>
            <w:r>
              <w:t>?</w:t>
            </w:r>
            <w:r w:rsidR="00E74496">
              <w:t xml:space="preserve"> Kas neid on veel? Kas selline määratlus aitab meil arendada efektiivsemat majandusarengu poliitikat?</w:t>
            </w:r>
          </w:p>
        </w:tc>
        <w:tc>
          <w:tcPr>
            <w:tcW w:w="3071" w:type="dxa"/>
          </w:tcPr>
          <w:p w:rsidR="00D7634E" w:rsidRDefault="00D7634E" w:rsidP="00F06244">
            <w:pPr>
              <w:cnfStyle w:val="000000100000"/>
            </w:pPr>
            <w:r>
              <w:t xml:space="preserve">Praktikandilt ootame </w:t>
            </w:r>
            <w:r w:rsidR="00E74496">
              <w:t>nelja</w:t>
            </w:r>
            <w:r>
              <w:t xml:space="preserve"> nimetatud </w:t>
            </w:r>
            <w:proofErr w:type="spellStart"/>
            <w:r>
              <w:t>megaklastri</w:t>
            </w:r>
            <w:proofErr w:type="spellEnd"/>
            <w:r>
              <w:t xml:space="preserve"> sidumist:</w:t>
            </w:r>
          </w:p>
          <w:p w:rsidR="00D7634E" w:rsidRDefault="00D7634E" w:rsidP="00F06244">
            <w:pPr>
              <w:cnfStyle w:val="000000100000"/>
            </w:pPr>
            <w:r>
              <w:t xml:space="preserve">- majandussektoritega, </w:t>
            </w:r>
          </w:p>
          <w:p w:rsidR="00D7634E" w:rsidRDefault="00D7634E" w:rsidP="00D7634E">
            <w:pPr>
              <w:cnfStyle w:val="000000100000"/>
            </w:pPr>
            <w:r>
              <w:t>- EASi seni toetatud projektidega (klastrid, takid, TA projektid)</w:t>
            </w:r>
          </w:p>
          <w:p w:rsidR="00D7634E" w:rsidRDefault="00D7634E" w:rsidP="00D7634E">
            <w:pPr>
              <w:cnfStyle w:val="000000100000"/>
            </w:pPr>
            <w:r>
              <w:t>- EAFi tehtud seiretööga</w:t>
            </w:r>
          </w:p>
          <w:p w:rsidR="00D7634E" w:rsidRDefault="00D7634E" w:rsidP="00D7634E">
            <w:pPr>
              <w:cnfStyle w:val="000000100000"/>
            </w:pPr>
            <w:r>
              <w:t>- innovatsiooni vedavate ettevõtetega</w:t>
            </w:r>
          </w:p>
          <w:p w:rsidR="00D7634E" w:rsidRDefault="00D7634E" w:rsidP="00D7634E">
            <w:pPr>
              <w:cnfStyle w:val="000000100000"/>
            </w:pPr>
            <w:r>
              <w:t>- arvamusliidritega.</w:t>
            </w:r>
          </w:p>
          <w:p w:rsidR="00D7634E" w:rsidRDefault="00D7634E" w:rsidP="00D7634E">
            <w:pPr>
              <w:cnfStyle w:val="000000100000"/>
            </w:pPr>
          </w:p>
          <w:p w:rsidR="00D7634E" w:rsidRDefault="00D7634E" w:rsidP="004B2863">
            <w:pPr>
              <w:cnfStyle w:val="000000100000"/>
            </w:pPr>
            <w:r>
              <w:t xml:space="preserve">Töö tulemusel </w:t>
            </w:r>
            <w:r w:rsidR="004B2863">
              <w:t xml:space="preserve">on MKMil parem ülevaade, kui palju täna oleme investeerinud nendesse megaklastritesse ja täpsustub ka megaklastrite definitsioon. </w:t>
            </w:r>
          </w:p>
        </w:tc>
      </w:tr>
    </w:tbl>
    <w:p w:rsidR="00BE0539" w:rsidRDefault="00BE0539"/>
    <w:sectPr w:rsidR="00BE0539" w:rsidSect="00BE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0855"/>
    <w:multiLevelType w:val="multilevel"/>
    <w:tmpl w:val="B694D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D3A2069"/>
    <w:multiLevelType w:val="hybridMultilevel"/>
    <w:tmpl w:val="E006D6AA"/>
    <w:lvl w:ilvl="0" w:tplc="378ECA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proofState w:spelling="clean" w:grammar="clean"/>
  <w:defaultTabStop w:val="708"/>
  <w:hyphenationZone w:val="425"/>
  <w:characterSpacingControl w:val="doNotCompress"/>
  <w:compat/>
  <w:rsids>
    <w:rsidRoot w:val="00F06244"/>
    <w:rsid w:val="001C0E1F"/>
    <w:rsid w:val="00253249"/>
    <w:rsid w:val="00267B9B"/>
    <w:rsid w:val="004B2863"/>
    <w:rsid w:val="004F2D79"/>
    <w:rsid w:val="00543AE4"/>
    <w:rsid w:val="006A4BCE"/>
    <w:rsid w:val="008626DD"/>
    <w:rsid w:val="009A76A1"/>
    <w:rsid w:val="00B16063"/>
    <w:rsid w:val="00B76A90"/>
    <w:rsid w:val="00BE0539"/>
    <w:rsid w:val="00BE101F"/>
    <w:rsid w:val="00C0791A"/>
    <w:rsid w:val="00D7634E"/>
    <w:rsid w:val="00D77C78"/>
    <w:rsid w:val="00E74496"/>
    <w:rsid w:val="00F0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E0539"/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C079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F06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F06244"/>
    <w:pPr>
      <w:ind w:left="720"/>
      <w:contextualSpacing/>
    </w:pPr>
  </w:style>
  <w:style w:type="table" w:styleId="Helevarjustusrhk4">
    <w:name w:val="Light Shading Accent 4"/>
    <w:basedOn w:val="Normaaltabel"/>
    <w:uiPriority w:val="60"/>
    <w:rsid w:val="00F0624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Kommentaariviide">
    <w:name w:val="annotation reference"/>
    <w:basedOn w:val="Liguvaikefont"/>
    <w:uiPriority w:val="99"/>
    <w:semiHidden/>
    <w:unhideWhenUsed/>
    <w:rsid w:val="004F2D79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4F2D79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4F2D79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4F2D7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4F2D79"/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F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F2D79"/>
    <w:rPr>
      <w:rFonts w:ascii="Tahoma" w:hAnsi="Tahoma" w:cs="Tahoma"/>
      <w:sz w:val="16"/>
      <w:szCs w:val="16"/>
    </w:rPr>
  </w:style>
  <w:style w:type="character" w:customStyle="1" w:styleId="Pealkiri2Mrk">
    <w:name w:val="Pealkiri 2 Märk"/>
    <w:basedOn w:val="Liguvaikefont"/>
    <w:link w:val="Pealkiri2"/>
    <w:uiPriority w:val="9"/>
    <w:rsid w:val="00C07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perlink">
    <w:name w:val="Hyperlink"/>
    <w:basedOn w:val="Liguvaikefont"/>
    <w:uiPriority w:val="99"/>
    <w:unhideWhenUsed/>
    <w:rsid w:val="00C079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rin.noormagi@mkm.ee" TargetMode="External"/><Relationship Id="rId5" Type="http://schemas.openxmlformats.org/officeDocument/2006/relationships/hyperlink" Target="mailto:jarmo.tuisk@mkm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687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Majandus- ja Kommunikatsiooniministeerium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Jarmo Tuisk</dc:creator>
  <cp:lastModifiedBy>Jarmo Tuisk</cp:lastModifiedBy>
  <cp:revision>3</cp:revision>
  <dcterms:created xsi:type="dcterms:W3CDTF">2011-11-10T07:17:00Z</dcterms:created>
  <dcterms:modified xsi:type="dcterms:W3CDTF">2011-11-10T07:19:00Z</dcterms:modified>
</cp:coreProperties>
</file>